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VVG 2008 — Fälligkeit der Geldleistung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Geldleistungen des Versicherers sind fällig mit der Beendigung der zur Feststellung des Versicherungsfalles und des Umfanges der Leistung des Versicherers notwendigen Erhebungen.</w:t>
      </w:r>
    </w:p>
    <w:p>
      <w:r>
        <w:t xml:space="preserve">(2) Sind diese Erhebungen nicht bis zum Ablauf eines Monats seit der Anzeige des Versicherungsfalles beendet, kann der Versicherungsnehmer Abschlagszahlungen in Höhe des Betrags verlangen, den der Versicherer voraussichtlich mindestens zu zahlen hat. Der Lauf der Frist ist gehemmt, solange die Erhebungen infolge eines Verschuldens des Versicherungsnehmers nicht beendet werden können.</w:t>
      </w:r>
    </w:p>
    <w:p>
      <w:r>
        <w:t xml:space="preserve">(3) Eine Vereinbarung, durch die der Versicherer von der Verpflichtung zur Zahlung von Verzugszinsen befreit wird, ist unwirksam.</w:t>
      </w:r>
    </w:p>
    <w:p>
      <w:r>
        <w:rPr>
          <w:color w:val="555555"/>
          <w:sz w:val="17"/>
        </w:rPr>
        <w:t xml:space="preserve">Zitiervorschlag: § 14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