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139 VVG 2008 — Veräußerung der versicherten Sache oder Güter</w:t>
      </w:r>
    </w:p>
    <w:p>
      <w:r>
        <w:rPr>
          <w:color w:val="555555"/>
          <w:sz w:val="18"/>
        </w:rPr>
        <w:t xml:space="preserve">Versicherungsvertragsgesetz</w:t>
      </w:r>
    </w:p>
    <w:p>
      <w:r>
        <w:rPr>
          <w:color w:val="555555"/>
          <w:sz w:val="18"/>
        </w:rPr>
        <w:t xml:space="preserve">Stand: 10.06.2019 (konsolidierte Textfassung, kein amtliches Inkrafttretensdatum)</w:t>
      </w:r>
    </w:p>
    <w:p>
      <w:r>
        <w:t xml:space="preserve">(1) Ist eine versicherte Sache, für die eine Einzelpolice oder ein Versicherungszertifikat ausgestellt worden ist, veräußert worden, haftet der Erwerber abweichend von § 95 nicht für die Prämie. Der Versicherer kann sich gegenüber dem Erwerber nicht auf Leistungsfreiheit wegen Nichtzahlung der Prämie oder wegen Nichtleistung einer Sicherheit berufen, es sei denn, der Erwerber kannte den Grund für die Leistungsfreiheit oder hätte ihn kennen müssen.</w:t>
      </w:r>
    </w:p>
    <w:p>
      <w:r>
        <w:t xml:space="preserve">(2) Der Versicherer ist abweichend von § 96 nicht berechtigt, das Versicherungsverhältnis wegen Veräußerung der versicherten Güter zu kündigen.</w:t>
      </w:r>
    </w:p>
    <w:p>
      <w:r>
        <w:t xml:space="preserve">(3) Der Versicherungsnehmer ist abweichend von § 97 nicht verpflichtet, dem Versicherer die Veräußerung anzuzeigen.</w:t>
      </w:r>
    </w:p>
    <w:p>
      <w:r>
        <w:rPr>
          <w:color w:val="555555"/>
          <w:sz w:val="17"/>
        </w:rPr>
        <w:t xml:space="preserve">Zitiervorschlag: § 139 VVG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https://recht.nulegal.eu/gesetze/VVG%202008/139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