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VVG 2008 — Versicherungswert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Als Versicherungswert der Güter gilt der gemeine Handelswert und in dessen Ermangelung der gemeine Wert, den die Güter am Ort der Absendung bei Beginn der Versicherung haben, zuzüglich der Versicherungskosten, der Kosten, die bis zur Annahme der Güter durch den Beförderer entstehen, und der endgültig bezahlten Fracht.</w:t>
      </w:r>
    </w:p>
    <w:p>
      <w:r>
        <w:t xml:space="preserve">(2) Der sich nach Absatz 1 ergebende Wert gilt auch bei Eintritt des Versicherungsfalles als Versicherungswert.</w:t>
      </w:r>
    </w:p>
    <w:p>
      <w:r>
        <w:t xml:space="preserve">(3) Bei Gütern, die beschädigt am Ablieferungsort ankommen, ist der Wert, den sie dort in beschädigtem Zustand haben, von dem Wert abzuziehen, den sie an diesem Ort in unbeschädigtem Zustand hätten. Der dem Verhältnis der Wertminderung zu ihrem Wert in unbeschädigtem Zustand entsprechende Bruchteil des Versicherungswertes gilt als Betrag des Schadens.</w:t>
      </w:r>
    </w:p>
    <w:p>
      <w:r>
        <w:rPr>
          <w:color w:val="555555"/>
          <w:sz w:val="17"/>
        </w:rPr>
        <w:t xml:space="preserve">Zitiervorschlag: § 136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