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135 VVG 2008 — Aufwendungsersatz</w:t>
      </w:r>
    </w:p>
    <w:p>
      <w:r>
        <w:rPr>
          <w:color w:val="555555"/>
          <w:sz w:val="18"/>
        </w:rPr>
        <w:t xml:space="preserve">Versicherungsvertragsgesetz</w:t>
      </w:r>
    </w:p>
    <w:p>
      <w:r>
        <w:rPr>
          <w:color w:val="555555"/>
          <w:sz w:val="18"/>
        </w:rPr>
        <w:t xml:space="preserve">Stand: 10.06.2019 (konsolidierte Textfassung, kein amtliches Inkrafttretensdatum)</w:t>
      </w:r>
    </w:p>
    <w:p>
      <w:r>
        <w:t xml:space="preserve">(1) Aufwendungen, die dem Versicherungsnehmer zur Abwendung oder Minderung des Schadens entstehen, sowie die Kosten für die Ermittlung und Feststellung des Schadens hat der Versicherer auch insoweit zu erstatten, als sie zusammen mit der übrigen Entschädigung die Versicherungssumme übersteigen.</w:t>
      </w:r>
    </w:p>
    <w:p>
      <w:r>
        <w:t xml:space="preserve">(2) Sind Aufwendungen zur Abwendung oder Minderung oder zur Ermittlung und Feststellung des Schadens oder zur Wiederherstellung oder Ausbesserung der durch einen Versicherungsfall beschädigten Sache gemacht oder Beiträge zur großen Haverei geleistet oder ist eine persönliche Verpflichtung des Versicherungsnehmers zur Entrichtung solcher Beiträge entstanden, hat der Versicherer den Schaden, der durch einen späteren Versicherungsfall verursacht wird, ohne Rücksicht auf die von ihm zu erstattenden früheren Aufwendungen und Beiträge zu ersetzen.</w:t>
      </w:r>
    </w:p>
    <w:p>
      <w:r>
        <w:rPr>
          <w:color w:val="555555"/>
          <w:sz w:val="17"/>
        </w:rPr>
        <w:t xml:space="preserve">Zitiervorschlag: § 135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https://recht.nulegal.eu/gesetze/VVG%202008/135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