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VVG 2008 — Gefahränderung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darf abweichend von § 23 die Gefahr erhöhen oder in anderer Weise ändern und die Änderung durch einen Dritten gestatten. Die Änderung hat er dem Versicherer unverzüglich anzuzeigen.</w:t>
      </w:r>
    </w:p>
    <w:p>
      <w:r>
        <w:t xml:space="preserve">(2) Hat der Versicherungsnehmer eine Gefahrerhöhung nicht angezeigt, ist der Versicherer nicht zur Leistung verpflichtet, wenn der Versicherungsfall nach dem Zeitpunkt eintritt, zu dem die Anzeige dem Versicherer hätte zugehen müssen. Er ist zur Leistung verpflichtet,</w:t>
      </w:r>
    </w:p>
    <w:p>
      <w:pPr>
        <w:ind w:left="420"/>
      </w:pPr>
      <w:r>
        <w:t xml:space="preserve">1. wenn ihm die Gefahrerhöhung zu dem Zeitpunkt bekannt war, zu dem ihm die Anzeige hätte zugehen müssen,</w:t>
      </w:r>
    </w:p>
    <w:p>
      <w:pPr>
        <w:ind w:left="420"/>
      </w:pPr>
      <w:r>
        <w:t xml:space="preserve">2. wenn die Anzeigepflicht weder vorsätzlich noch grob fahrlässig verletzt worden ist oder</w:t>
      </w:r>
    </w:p>
    <w:p>
      <w:pPr>
        <w:ind w:left="420"/>
      </w:pPr>
      <w:r>
        <w:t xml:space="preserve">3. soweit die Gefahrerhöhung nicht ursächlich für den Eintritt des Versicherungsfalles oder den Umfang der Leistungspflicht war.</w:t>
      </w:r>
    </w:p>
    <w:p>
      <w:r>
        <w:t xml:space="preserve">(3) Der Versicherer ist abweichend von § 24 nicht berechtigt, den Vertrag wegen einer Gefahrerhöhung zu kündigen.</w:t>
      </w:r>
    </w:p>
    <w:p>
      <w:r>
        <w:rPr>
          <w:color w:val="555555"/>
          <w:sz w:val="17"/>
        </w:rPr>
        <w:t xml:space="preserve">Zitiervorschlag: § 132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