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130 VVG 2008 — Umfang der Gefahrtragung</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Bei der Versicherung von Gütern gegen die Gefahren der Beförderung zu Lande oder auf Binnengewässern sowie der damit verbundenen Lagerung trägt der Versicherer alle Gefahren, denen die Güter während der Dauer der Versicherung ausgesetzt sind.</w:t>
      </w:r>
    </w:p>
    <w:p>
      <w:r>
        <w:t xml:space="preserve">(2) Bei der Versicherung eines Schiffes gegen die Gefahren der Binnenschifffahrt trägt der Versicherer alle Gefahren, denen das Schiff während der Dauer der Versicherung ausgesetzt ist. Der Versicherer haftet auch für den Schaden, den der Versicherungsnehmer infolge eines Zusammenstoßes von Schiffen oder eines Schiffes mit festen oder schwimmenden Gegenständen dadurch erleidet, dass er den einem Dritten zugefügten Schaden zu ersetzen hat.</w:t>
      </w:r>
    </w:p>
    <w:p>
      <w:r>
        <w:t xml:space="preserve">(3) Die Versicherung gegen die Gefahren der Binnenschifffahrt umfasst die Beiträge zur großen Haverei, soweit durch die Haverei-Maßnahme ein vom Versicherer zu ersetzender Schaden abgewendet werden sollte.</w:t>
      </w:r>
    </w:p>
    <w:p>
      <w:r>
        <w:rPr>
          <w:color w:val="555555"/>
          <w:sz w:val="17"/>
        </w:rPr>
        <w:t xml:space="preserve">Zitiervorschlag: § 130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