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VVG 2008 — Änderung von Anschrift und Name</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Hat der Versicherungsnehmer eine Änderung seiner Anschrift dem Versicherer nicht mitgeteilt, genügt für eine dem Versicherungsnehmer gegenüber abzugebende Willenserklärung die Absendung eines eingeschriebenen Briefes an die letzte dem Versicherer bekannte Anschrift des Versicherungsnehmers. Die Erklärung gilt drei Tage nach der Absendung des Briefes als zugegangen. Die Sätze 1 und 2 sind im Fall einer Namensänderung des Versicherungsnehmers entsprechend anzuwenden.</w:t>
      </w:r>
    </w:p>
    <w:p>
      <w:r>
        <w:t xml:space="preserve">(2) Hat der Versicherungsnehmer die Versicherung in seinem Gewerbebetrieb genommen, ist bei einer Verlegung der gewerblichen Niederlassung Absatz 1 Satz 1 und 2 entsprechend anzuwenden.</w:t>
      </w:r>
    </w:p>
    <w:p>
      <w:r>
        <w:rPr>
          <w:color w:val="555555"/>
          <w:sz w:val="17"/>
        </w:rPr>
        <w:t xml:space="preserve">Zitiervorschlag: § 13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