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§§ 126 bis 128 kann nicht zum Nachteil des Versicherungsnehmers abgewichen werden.</w:t>
      </w:r>
    </w:p>
    <w:p>
      <w:r>
        <w:rPr>
          <w:color w:val="555555"/>
          <w:sz w:val="17"/>
        </w:rPr>
        <w:t xml:space="preserve">Zitiervorschlag: § 129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