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127 VVG 2008 — Freie Anwaltswahl</w:t>
      </w:r>
    </w:p>
    <w:p>
      <w:r>
        <w:rPr>
          <w:color w:val="555555"/>
          <w:sz w:val="18"/>
        </w:rPr>
        <w:t xml:space="preserve">Versicherungsvertragsgesetz</w:t>
      </w:r>
    </w:p>
    <w:p>
      <w:r>
        <w:rPr>
          <w:color w:val="555555"/>
          <w:sz w:val="18"/>
        </w:rPr>
        <w:t xml:space="preserve">Stand: 10.06.2019 (konsolidierte Textfassung, kein amtliches Inkrafttretensdatum)</w:t>
      </w:r>
    </w:p>
    <w:p>
      <w:r>
        <w:t xml:space="preserve">(1) Der Versicherungsnehmer ist berechtigt, zu seiner Vertretung in Gerichts- und Verwaltungsverfahren den Rechtsanwalt, der seine Interessen wahrnehmen soll, aus dem Kreis der Rechtsanwälte, deren Vergütung der Versicherer nach dem Versicherungsvertrag trägt, frei zu wählen. Dies gilt auch, wenn der Versicherungsnehmer Rechtsschutz für die sonstige Wahrnehmung rechtlicher Interessen in Anspruch nehmen kann.</w:t>
      </w:r>
    </w:p>
    <w:p>
      <w:r>
        <w:t xml:space="preserve">(2) Rechtsanwalt ist auch, wer berechtigt ist, unter einer der in der Anlage zu § 1 des Gesetzes über die Tätigkeit europäischer Rechtsanwälte in Deutschland vom 9. März 2000 (BGBl. I S. 182, 1349), das zuletzt durch Artikel 1 des Gesetzes vom 26. Oktober 2003 (BGBl. I S. 2074) geändert worden ist, in der jeweils geltenden Fassung genannten Bezeichnungen beruflich tätig zu werden.</w:t>
      </w:r>
    </w:p>
    <w:p>
      <w:r>
        <w:rPr>
          <w:color w:val="555555"/>
          <w:sz w:val="17"/>
        </w:rPr>
        <w:t xml:space="preserve">Zitiervorschlag: § 127 VVG 2008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https://recht.nulegal.eu/gesetze/VVG%202008/127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