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119 VVG 2008 — Obliegenheiten des Dritten</w:t>
      </w:r>
    </w:p>
    <w:p>
      <w:r>
        <w:rPr>
          <w:color w:val="555555"/>
          <w:sz w:val="18"/>
        </w:rPr>
        <w:t xml:space="preserve">Versicherungsvertragsgesetz</w:t>
      </w:r>
    </w:p>
    <w:p>
      <w:r>
        <w:rPr>
          <w:color w:val="555555"/>
          <w:sz w:val="18"/>
        </w:rPr>
        <w:t xml:space="preserve">Stand: 10.06.2019 (konsolidierte Textfassung, kein amtliches Inkrafttretensdatum)</w:t>
      </w:r>
    </w:p>
    <w:p>
      <w:r>
        <w:t xml:space="preserve">(1) Der Dritte hat ein Schadensereignis, aus dem er einen Anspruch gegen den Versicherungsnehmer oder nach § 115 Abs. 1 gegen den Versicherer herleiten will, dem Versicherer innerhalb von zwei Wochen, nachdem er von dem Schadensereignis Kenntnis erlangt hat, in Textform anzuzeigen; zur Fristwahrung genügt die rechtzeitige Absendung.</w:t>
      </w:r>
    </w:p>
    <w:p>
      <w:r>
        <w:t xml:space="preserve">(2) Macht der Dritte den Anspruch gegen den Versicherungsnehmer gerichtlich geltend, hat er dies dem Versicherer unverzüglich in Textform anzuzeigen.</w:t>
      </w:r>
    </w:p>
    <w:p>
      <w:r>
        <w:t xml:space="preserve">(3) Der Versicherer kann von dem Dritten Auskunft verlangen, soweit sie zur Feststellung des Schadensereignisses und der Höhe des Schadens erforderlich ist. Belege kann der Versicherer insoweit verlangen, als deren Beschaffung dem Dritten billigerweise zugemutet werden kann.</w:t>
      </w:r>
    </w:p>
    <w:p>
      <w:r>
        <w:rPr>
          <w:color w:val="555555"/>
          <w:sz w:val="17"/>
        </w:rPr>
        <w:t xml:space="preserve">Zitiervorschlag: § 119 VVG 2008</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https://recht.nulegal.eu/gesetze/VVG%202008/119</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