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118 VVG 2008 — Rangfolge mehrerer Ansprüche</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Übersteigen die Ansprüche auf Entschädigung, die auf Grund desselben Schadensereignisses zu leisten ist, die Versicherungssumme, wird die Versicherungssumme nach folgender Rangfolge, bei gleichem Rang nach dem Verhältnis ihrer Beträge, an die Ersatzberechtigten ausgezahlt:</w:t>
      </w:r>
    </w:p>
    <w:p>
      <w:pPr>
        <w:ind w:left="420"/>
      </w:pPr>
      <w:r>
        <w:t xml:space="preserve">1. für Ansprüche wegen Personenschäden, soweit die Geschädigten nicht vom Schädiger, von einem anderen Versicherer als dessen Haftpflichtversicherer, einem Sozialversicherungsträger oder einem sonstigen Dritten Ersatz ihrer Schäden erlangen können;</w:t>
      </w:r>
    </w:p>
    <w:p>
      <w:pPr>
        <w:ind w:left="420"/>
      </w:pPr>
      <w:r>
        <w:t xml:space="preserve">2. für Ansprüche wegen sonstiger Schäden natürlicher und juristischer Personen des Privatrechts, soweit die Geschädigten nicht vom Schädiger, einem anderen Versicherer als dessen Haftpflichtversicherer oder einem Dritten Ersatz ihrer Schäden erlangen können;</w:t>
      </w:r>
    </w:p>
    <w:p>
      <w:pPr>
        <w:ind w:left="420"/>
      </w:pPr>
      <w:r>
        <w:t xml:space="preserve">3. für Ansprüche, die nach Privatrecht auf Versicherer oder sonstige Dritte wegen Personen- und sonstiger Schäden übergegangen sind;</w:t>
      </w:r>
    </w:p>
    <w:p>
      <w:pPr>
        <w:ind w:left="420"/>
      </w:pPr>
      <w:r>
        <w:t xml:space="preserve">4. für Ansprüche, die auf Sozialversicherungsträger übergegangen sind;</w:t>
      </w:r>
    </w:p>
    <w:p>
      <w:pPr>
        <w:ind w:left="420"/>
      </w:pPr>
      <w:r>
        <w:t xml:space="preserve">5. für alle sonstigen Ansprüche.</w:t>
      </w:r>
    </w:p>
    <w:p>
      <w:r>
        <w:t xml:space="preserve">(2) Ist die Versicherungssumme unter Berücksichtigung nachrangiger Ansprüche erschöpft, kann sich ein vorrangig zu befriedigender Anspruchsberechtigter, der bei der Verteilung nicht berücksichtigt worden ist, nachträglich auf Absatz 1 nicht berufen, wenn der Versicherer mit der Geltendmachung dieses Anspruchs nicht gerechnet hat und auch nicht rechnen musste.</w:t>
      </w:r>
    </w:p>
    <w:p>
      <w:r>
        <w:rPr>
          <w:color w:val="555555"/>
          <w:sz w:val="17"/>
        </w:rPr>
        <w:t xml:space="preserve">Zitiervorschlag: § 118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