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116 VVG 2008 — Gesamtschuldner</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Im Verhältnis der Gesamtschuldner nach § 115 Abs. 1 Satz 4 zueinander ist der Versicherer allein verpflichtet, soweit er dem Versicherungsnehmer aus dem Versicherungsverhältnis zur Leistung verpflichtet ist. Soweit eine solche Verpflichtung nicht besteht, ist in ihrem Verhältnis zueinander der Versicherungsnehmer allein verpflichtet. Der Versicherer kann Ersatz der Aufwendungen verlangen, die er den Umständen nach für erforderlich halten durfte.</w:t>
      </w:r>
    </w:p>
    <w:p>
      <w:r>
        <w:t xml:space="preserve">(2) Die Verjährung der sich aus Absatz 1 ergebenden Ansprüche beginnt mit dem Schluss des Jahres, in dem der Anspruch des Dritten erfüllt wird.</w:t>
      </w:r>
    </w:p>
    <w:p>
      <w:r>
        <w:rPr>
          <w:color w:val="555555"/>
          <w:sz w:val="17"/>
        </w:rPr>
        <w:t xml:space="preserve">Zitiervorschlag: § 116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