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VVG 2008 — Kündigung nach Versicherungsfall</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Hat der Versicherer nach dem Eintritt des Versicherungsfalles den Anspruch des Versicherungsnehmers auf Freistellung anerkannt oder zu Unrecht abgelehnt, kann jede Vertragspartei das Versicherungsverhältnis kündigen. Dies gilt auch, wenn der Versicherer dem Versicherungsnehmer die Weisung erteilt, es zum Rechtsstreit über den Anspruch des Dritten kommen zu lassen.</w:t>
      </w:r>
    </w:p>
    <w:p>
      <w:r>
        <w:t xml:space="preserve">(2) Die Kündigung ist nur innerhalb eines Monats seit der Anerkennung oder Ablehnung des Freistellungsanspruchs oder seit der Rechtskraft des im Rechtsstreit mit dem Dritten ergangenen Urteils zulässig. § 92 Abs. 2 Satz 2 und 3 ist anzuwenden.</w:t>
      </w:r>
    </w:p>
    <w:p>
      <w:r>
        <w:rPr>
          <w:color w:val="555555"/>
          <w:sz w:val="17"/>
        </w:rPr>
        <w:t xml:space="preserve">Zitiervorschlag: § 111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