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 VVG 2008 — Verfügung über den Freistellungsanspruch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Verfügungen des Versicherungsnehmers über den Freistellungsanspruch gegen den Versicherer sind dem Dritten gegenüber unwirksam. Der rechtsgeschäftlichen Verfügung steht eine Verfügung im Wege der Zwangsvollstreckung oder Arrestvollziehung gleich.</w:t>
      </w:r>
    </w:p>
    <w:p>
      <w:r>
        <w:t xml:space="preserve">(2) Die Abtretung des Freistellungsanspruchs an den Dritten kann nicht durch Allgemeine Versicherungsbedingungen ausgeschlossen werden.</w:t>
      </w:r>
    </w:p>
    <w:p>
      <w:r>
        <w:rPr>
          <w:color w:val="555555"/>
          <w:sz w:val="17"/>
        </w:rPr>
        <w:t xml:space="preserve">Zitiervorschlag: § 108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