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 VVG 2008 — Rentenanspruch</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Ist der Versicherungsnehmer dem Dritten zur Zahlung einer Rente verpflichtet, ist der Versicherer, wenn die Versicherungssumme den Kapitalwert der Rente nicht erreicht, nur zur Zahlung eines verhältnismäßigen Teils der Rente verpflichtet.</w:t>
      </w:r>
    </w:p>
    <w:p>
      <w:r>
        <w:t xml:space="preserve">(2) Hat der Versicherungsnehmer für die von ihm geschuldete Rente dem Dritten kraft Gesetzes Sicherheit zu leisten, erstreckt sich die Verpflichtung des Versicherers auf die Leistung der Sicherheit. Absatz 1 gilt entsprechend.</w:t>
      </w:r>
    </w:p>
    <w:p>
      <w:r>
        <w:rPr>
          <w:color w:val="555555"/>
          <w:sz w:val="17"/>
        </w:rPr>
        <w:t xml:space="preserve">Zitiervorschlag: § 107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