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VVG 2008 — Anzeigepflicht des Versicherungsnehmers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Versicherungsnehmer hat dem Versicherer innerhalb einer Woche die Tatsachen anzuzeigen, die seine Verantwortlichkeit gegenüber einem Dritten zur Folge haben könnten. Macht der Dritte seinen Anspruch gegenüber dem Versicherungsnehmer geltend, ist der Versicherungsnehmer zur Anzeige innerhalb einer Woche nach der Geltendmachung verpflichtet.</w:t>
      </w:r>
    </w:p>
    <w:p>
      <w:r>
        <w:t xml:space="preserve">(2) Wird gegen den Versicherungsnehmer ein Anspruch gerichtlich geltend gemacht, Prozesskostenhilfe beantragt oder wird ihm gerichtlich der Streit verkündet, hat er dies dem Versicherer unverzüglich anzuzeigen. Dies gilt auch, wenn gegen den Versicherungsnehmer wegen des den Anspruch begründenden Schadensereignisses ein Ermittlungsverfahren eingeleitet wird.</w:t>
      </w:r>
    </w:p>
    <w:p>
      <w:r>
        <w:t xml:space="preserve">(3) Zur Wahrung der Fristen nach den Absätzen 1 und 2 genügt die rechtzeitige Absendung der Anzeige. § 30 Abs. 2 ist entsprechend anzuwenden.</w:t>
      </w:r>
    </w:p>
    <w:p>
      <w:r>
        <w:rPr>
          <w:color w:val="555555"/>
          <w:sz w:val="17"/>
        </w:rPr>
        <w:t xml:space="preserve">Zitiervorschlag: § 104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