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VVB (Bayern) — Rauchen, Rauchverbot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Rauchen ist verboten an Orten, an denen</w:t>
      </w:r>
    </w:p>
    <w:p>
      <w:r>
        <w:t xml:space="preserve">1. leicht entzündbare Stoffe hergestellt, verarbeitet oder aufbewahrt werden,</w:t>
      </w:r>
    </w:p>
    <w:p>
      <w:r>
        <w:t xml:space="preserve">2. gefährliche explosionsfähige Gas-, Dampf-, Nebel- oder Staubluftgemische auftreten oder sonstige explosionsgefährliche Stoffe vorhanden sein können.</w:t>
      </w:r>
    </w:p>
    <w:p>
      <w:r>
        <w:t xml:space="preserve">(2) Brennende Zigarren oder Zigaretten, Pfeifenglut oder Rauchzeugasche dürfen nicht so weggelegt oder weggeworfen werden, daß eine Brandgefahr entsteht. § 5 Abs. 1 gilt entsprechend.</w:t>
      </w:r>
    </w:p>
    <w:p>
      <w:r>
        <w:rPr>
          <w:color w:val="555555"/>
          <w:sz w:val="17"/>
        </w:rPr>
        <w:t xml:space="preserve">Zitiervorschlag: § 7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