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VVB (Bayern) — Inkrafttreten, Außerkrafttreten</w:t>
      </w:r>
    </w:p>
    <w:p>
      <w:r>
        <w:rPr>
          <w:color w:val="555555"/>
          <w:sz w:val="18"/>
        </w:rPr>
        <w:t xml:space="preserve">Verordnung über die Verhütung von Bränden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15. Mai 1981 in Kraft. Sie tritt mit Ablauf des 31. Dezember 2031 außer Kraft.</w:t>
      </w:r>
    </w:p>
    <w:p>
      <w:r>
        <w:t xml:space="preserve">[Amtl. Anm.:] Betrifft die ursprüngliche Fassung vom 29. April 1981 (GVBl. S. 101)</w:t>
      </w:r>
    </w:p>
    <w:p>
      <w:r>
        <w:rPr>
          <w:color w:val="555555"/>
          <w:sz w:val="17"/>
        </w:rPr>
        <w:t xml:space="preserve">Zitiervorschlag: § 28 VVB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https://recht.nulegal.eu/gesetze/VVB/28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