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VVB (Bayern) — Sachlicher Geltungsbereich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gilt nicht für Betriebe, die der Aufsicht der Bergbehörden unterliegen.</w:t>
      </w:r>
    </w:p>
    <w:p>
      <w:r>
        <w:t xml:space="preserve">(2) Weitergehende Gemeindeverordnungen werden durch diese Verordnung nicht berührt.</w:t>
      </w:r>
    </w:p>
    <w:p>
      <w:r>
        <w:rPr>
          <w:color w:val="555555"/>
          <w:sz w:val="17"/>
        </w:rPr>
        <w:t xml:space="preserve">Zitiervorschlag: § 26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