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VVB (Bayern) — Zuständigkeit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wird durch die Gemeinden vollzogen, soweit in Abs. 2 oder in sonstigen Rechtsvorschriften nichts anderes bestimmt ist.</w:t>
      </w:r>
    </w:p>
    <w:p>
      <w:r>
        <w:t xml:space="preserve">(2) Für die Überprüfungen nach § 9 sind die Betriebe zuständig, die mit dem Schornsteinfegerhandwerk in die Handwerksrolle eingetragen sind oder die Voraussetzungen nach den §§ 7 bis 9 der EU/EWR-Handwerk-Verordnung erfüllen. Bis zum 31. Dezember 2012 liegt die Zuständigkeit nach Satz 1 bei den zuständigen Bezirksschornsteinfegermeistern oder nach Maßgabe des § 13 Abs. 3 des Schornsteinfegergesetzes bei den Staatsangehörigen eines anderen Mitgliedstaates der Europäischen Union oder eines Vertragsstaates des Abkommens über den Europäischen Wirtschaftsraum oder der Schweiz.</w:t>
      </w:r>
    </w:p>
    <w:p>
      <w:r>
        <w:rPr>
          <w:color w:val="555555"/>
          <w:sz w:val="17"/>
        </w:rPr>
        <w:t xml:space="preserve">Zitiervorschlag: § 23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