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VVB (Bayern) — Nicht ausgebaute Dachräume, Luken, Kamine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nicht ausgebauten Dachräumen dürfen Gegenstände nur so gelagert werden, daß noch ausreichende Bewegungsfreiheit besteht, insbesondere ein ungehinderter Zugang zu den Kaminen und zum Dachraum am Dachfuß durchgängig möglich ist. § 13 bleibt unberührt.</w:t>
      </w:r>
    </w:p>
    <w:p>
      <w:r>
        <w:t xml:space="preserve">(2) An Kaminen dürfen keine brennbaren Stoffe gelagert werden.</w:t>
      </w:r>
    </w:p>
    <w:p>
      <w:r>
        <w:rPr>
          <w:color w:val="555555"/>
          <w:sz w:val="17"/>
        </w:rPr>
        <w:t xml:space="preserve">Zitiervorschlag: § 21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