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VVB (Bayern) — Ausschmücken von Räumen</w:t>
      </w:r>
    </w:p>
    <w:p>
      <w:r>
        <w:rPr>
          <w:color w:val="555555"/>
          <w:sz w:val="18"/>
        </w:rPr>
        <w:t xml:space="preserve">Verordnung über die Verhütung von Bränden</w:t>
      </w:r>
    </w:p>
    <w:p>
      <w:r>
        <w:rPr>
          <w:color w:val="555555"/>
          <w:sz w:val="18"/>
        </w:rPr>
        <w:t xml:space="preserve">Landesrecht Bayern</w:t>
      </w:r>
    </w:p>
    <w:p>
      <w:r>
        <w:rPr>
          <w:color w:val="555555"/>
          <w:sz w:val="18"/>
        </w:rPr>
        <w:t xml:space="preserve">Stand: 25.08.2026 (konsolidierte Textfassung, kein amtliches Inkrafttretensdatum)</w:t>
      </w:r>
    </w:p>
    <w:p>
      <w:r>
        <w:t xml:space="preserve">(1) Räume, die dem Aufenthalt einer größeren Anzahl von Menschen dienen, und Rettungswege aus solchen Räumen dürfen nicht mit leicht entzündbaren Stoffen ausgeschmückt werden. Papier und Kunststoffe dürfen hierfür nur verwendet werden, wenn sie mindestens schwer entflammbar sind. Zu- und Ausgänge, Hinweise auf Ausgänge, Brandschutzeinrichtungen und Sicherheitskennzeichen dürfen durch Ausschmückungsgegenstände nicht verstellt oder verhängt werden.</w:t>
      </w:r>
    </w:p>
    <w:p>
      <w:r>
        <w:t xml:space="preserve">(2) Elektrische Leuchten dürfen in Räumen nicht so mit brennbaren Stoffen umgeben werden, daß diese entzündet werden können.</w:t>
      </w:r>
    </w:p>
    <w:p>
      <w:r>
        <w:t xml:space="preserve">(3) Abs. 1 und 2 gelten auch für Zelte und bauliche Anlagen, die geeignet sind, wiederholt an wechselnden Orten aufgestellt und zerlegt zu werden, mit Ausnahme ausführungsgenehmigungspflichtiger fliegender Bauten.</w:t>
      </w:r>
    </w:p>
    <w:p>
      <w:r>
        <w:rPr>
          <w:color w:val="555555"/>
          <w:sz w:val="17"/>
        </w:rPr>
        <w:t xml:space="preserve">Zitiervorschlag: § 19 VVB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https://recht.nulegal.eu/gesetze/VVB/19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