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VVB (Bayern) — Verbrennungsmotoren</w:t>
      </w:r>
    </w:p>
    <w:p>
      <w:r>
        <w:rPr>
          <w:color w:val="555555"/>
          <w:sz w:val="18"/>
        </w:rPr>
        <w:t xml:space="preserve">Verordnung über die Verhütung von Bränden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Zugmaschinen und sonstige bewegliche Arbeitsmaschinen mit Verbrennungsmotoren dürfen nicht in Räumen betrieben werden, in denen gefährliche explosionsfähige Gas-, Dampf-, Nebel- oder Staubluftgemische auftreten können. Ortsfest dürfen sie nicht in Räumen betrieben werden, in denen leicht entzündbare Stoffe hergestellt, aufbewahrt oder verarbeitet werden.</w:t>
      </w:r>
    </w:p>
    <w:p>
      <w:r>
        <w:rPr>
          <w:color w:val="555555"/>
          <w:sz w:val="17"/>
        </w:rPr>
        <w:t xml:space="preserve">Zitiervorschlag: § 10 VVB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https://recht.nulegal.eu/gesetze/VVB/10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