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VUDat-DV — Ordnungswidrigkeiten</w:t>
      </w:r>
    </w:p>
    <w:p>
      <w:r>
        <w:rPr>
          <w:color w:val="555555"/>
          <w:sz w:val="18"/>
        </w:rPr>
        <w:t xml:space="preserve">Verkehrsunternehmensdatei-Durchführungsverordnung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Ordnungswidrig im Sinne des § 19 Absatz 1 Nummer 2 Buchstabe b des Güterkraftverkehrsgesetzes handelt, wer vorsätzlich oder fahrlässig entgegen § 4 Absatz 3 Satz 1 ein Kennzeichen oder die dort genannte Anzahl der Personen nicht, nicht richtig, nicht vollständig, nicht in der vorgeschriebenen Weise oder nicht rechtzeitig übermittelt.</w:t>
      </w:r>
    </w:p>
    <w:p>
      <w:r>
        <w:rPr>
          <w:color w:val="555555"/>
          <w:sz w:val="17"/>
        </w:rPr>
        <w:t xml:space="preserve">Zitiervorschlag: § 8 VUDat-DV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https://recht.nulegal.eu/gesetze/VUDat-DV/8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