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VUDat-DV — Datenübermittlung an das Bundesamt zum Zwecke der Führung der Datei über abgeschlossene Bußgeldverfahren und Datenabruf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Für die Datenübermittlung nach § 16 Absatz 2 und 2a des Güterkraftverkehrsgesetzes durch die zuständigen Verwaltungsbehörden im Sinne des § 36 Absatz 1 Nummer 1 des Gesetzes über Ordnungswidrigkeiten an das Bundesamt zum Zwecke der Führung der Datei über abgeschlossene Bußgeldverfahren gilt § 4 Absatz 1 entsprechend.</w:t>
      </w:r>
    </w:p>
    <w:p>
      <w:r>
        <w:t xml:space="preserve">(2) Die Erteilungsbehörden dürfen im Rahmen ihrer Zuständigkeit zur Überprüfung der Zuverlässigkeit des Unternehmers oder der Verkehrsleiter Daten aus der Datei über abgeschlossene Bußgeldverfahren im automatisierten Verfahren abrufen.</w:t>
      </w:r>
    </w:p>
    <w:p>
      <w:r>
        <w:t xml:space="preserve">(3) § 3 Absatz 3 gilt entsprechend.</w:t>
      </w:r>
    </w:p>
    <w:p>
      <w:r>
        <w:rPr>
          <w:color w:val="555555"/>
          <w:sz w:val="17"/>
        </w:rPr>
        <w:t xml:space="preserve">Zitiervorschlag: § 4a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