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VUDat-DV — Verkehrsunternehmensdatei</w:t>
      </w:r>
    </w:p>
    <w:p>
      <w:r>
        <w:rPr>
          <w:color w:val="555555"/>
          <w:sz w:val="18"/>
        </w:rPr>
        <w:t xml:space="preserve">Verkehrsunternehmensdatei-Durchführungsverordnung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Das Bundesamt für Logistik und Mobilität (Bundesamt) betreibt die Verkehrsunternehmensdatei nach § 15 des Güterkraftverkehrsgesetzes in Form einer Datenbank. Die Datei ist nach Maßgabe des § 2 Absatz 3 allgemein zugänglich.</w:t>
      </w:r>
    </w:p>
    <w:p>
      <w:r>
        <w:rPr>
          <w:color w:val="555555"/>
          <w:sz w:val="17"/>
        </w:rPr>
        <w:t xml:space="preserve">Zitiervorschlag: § 1 VUDat-DV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https://recht.nulegal.eu/gesetze/VUDat-DV/1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