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VTMFPrV — Befreiung von einzelnen Prüfungsbestandteilen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Wird die zu prüfende Person nach § 56 Absatz 2 des Berufsbildungsgesetzes oder nach § 42c Absatz 2 der Handwerksordnung von der Ablegung einzelner Prüfungsbestandteile befreit, bleiben diese Prüfungsbestandteile für die Anwendung der §§ 22 und 23 außer Betracht. Für die übrigen Prüfungsbestandteile erhöhen sich die Anteile nach § 22 Absatz 2 Satz 2 oder Absatz 3 Satz 2 oder § 23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21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