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VTMBAProVTFPrV — Voraussetzungen für die Zulassung zur Prüfung in den Prüfungsteilen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Zur Prüfung ist zuzulassen, wer die Anforderungen des § 53c des Berufsbildungsgesetzes oder des § 42c der Handwerksordnung erfüllt und Folgendes nachweist:</w:t>
      </w:r>
    </w:p>
    <w:p>
      <w:pPr>
        <w:ind w:left="420"/>
      </w:pPr>
      <w:r>
        <w:t xml:space="preserve">1. eine erfolgreich abgelegte Abschlussprüfung zur Fachkraft für Veranstaltungstechnik,</w:t>
      </w:r>
    </w:p>
    <w:p>
      <w:pPr>
        <w:ind w:left="420"/>
      </w:pPr>
      <w:r>
        <w:t xml:space="preserve">2. eine erfolgreich abgelegte Abschluss- oder Gesellenprüfung in einem sonstigen anerkannten Ausbildungsberuf und eine auf die Berufsausbildung folgende mindestens einjährige Berufspraxis oder</w:t>
      </w:r>
    </w:p>
    <w:p>
      <w:pPr>
        <w:ind w:left="420"/>
      </w:pPr>
      <w:r>
        <w:t xml:space="preserve">3. eine mindestens vierjährige Berufspraxis.</w:t>
      </w:r>
    </w:p>
    <w:p>
      <w:r>
        <w:t xml:space="preserve">Nach der Zulassung zur Prüfung können die Prüfungsteile „Veranstaltungsprozesse“ und „Betriebliches Management“ abgelegt werden.</w:t>
      </w:r>
    </w:p>
    <w:p>
      <w:r>
        <w:t xml:space="preserve">(2) Den Prüfungsteil „Veranstaltungsprojekt“ kann nur ablegen, wer nachweist, dass er oder sie</w:t>
      </w:r>
    </w:p>
    <w:p>
      <w:pPr>
        <w:ind w:left="420"/>
      </w:pPr>
      <w:r>
        <w:t xml:space="preserve">1. den Prüfungsteil „Veranstaltungsprozesse“ abgelegt hat und</w:t>
      </w:r>
    </w:p>
    <w:p>
      <w:pPr>
        <w:ind w:left="420"/>
      </w:pPr>
      <w:r>
        <w:t xml:space="preserve">2. über die in Absatz 1 Satz 1 Nummer 2 oder 3 genannten Voraussetzungen hinaus mindestens ein weiteres Jahr Berufspraxis erworben hat.</w:t>
      </w:r>
    </w:p>
    <w:p>
      <w:r>
        <w:t xml:space="preserve">(3) Alle Prüfungsteile müssen innerhalb von fünf Jahren gerechnet ab dem ersten Tag der Prüfung des ersten Prüfungsbestandteils abgelegt werden. Wird im Einzelfall die Frist des Satzes 1 nicht eingehalten und hat dies die zuständige Stelle zu vertreten, ist die Prüfung ohne Beachtung der Frist zu Ende zu führen.</w:t>
      </w:r>
    </w:p>
    <w:p>
      <w:r>
        <w:t xml:space="preserve">(4) Die Berufspraxis nach den Absätzen 1 und 2 soll wesentliche Bezüge zu den Aufgaben eines „Geprüften Meisters für Veranstaltungstechnik-Bachelor Professional für Veranstaltungstechnik“ oder einer „Geprüften Meisterin für Veranstaltungstechnik-Bachelor Professional für Veranstaltungstechnik“ nach § 1 Absatz 3 und 4 aufweisen. Im Fall der Zulassung nach Absatz 1 Satz 1 Nummer 2 oder 3 soll zusätzlich nachgewiesen werden, dass die zu prüfende Person Tätigkeiten ausgeübt hat, die für die berufliche Handlungsfähigkeit einer Fachkraft für Veranstaltungstechnik notwendig ist.</w:t>
      </w:r>
    </w:p>
    <w:p>
      <w:r>
        <w:t xml:space="preserve">(5) Abweichend von Absatz 1 Satz 1 ist zur Prüfung auch zuzulassen, wer durch Vorlage von Zeugnissen oder auf andere Weise glaubhaft macht, Fertigkeiten, Kenntnisse und Fähigkeiten erworben zu haben, die der in Absatz 1 Satz 1 beschriebenen beruflichen Handlungsfähigkeit vergleichbar sind und die Zulassung zur Prüfung rechtfertigen.</w:t>
      </w:r>
    </w:p>
    <w:p>
      <w:r>
        <w:rPr>
          <w:color w:val="555555"/>
          <w:sz w:val="17"/>
        </w:rPr>
        <w:t xml:space="preserve">Zitiervorschlag: § 5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