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VTMBAProVTFPrV — Gliederung der Prüfung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Prüfung nach § 2 gliedert sich in drei Prüfungsteile:</w:t>
      </w:r>
    </w:p>
    <w:p>
      <w:pPr>
        <w:ind w:left="420"/>
      </w:pPr>
      <w:r>
        <w:t xml:space="preserve">1. Prüfungsteil „Veranstaltungsprozesse“ nach den §§ 6 bis 10,</w:t>
      </w:r>
    </w:p>
    <w:p>
      <w:pPr>
        <w:ind w:left="420"/>
      </w:pPr>
      <w:r>
        <w:t xml:space="preserve">2. Prüfungsteil „Betriebliches Management“ nach den §§ 11 bis 16 sowie</w:t>
      </w:r>
    </w:p>
    <w:p>
      <w:pPr>
        <w:ind w:left="420"/>
      </w:pPr>
      <w:r>
        <w:t xml:space="preserve">3. Prüfungsteil „Veranstaltungsprojekt“ nach den §§ 17 bis 20.</w:t>
      </w:r>
    </w:p>
    <w:p>
      <w:r>
        <w:rPr>
          <w:color w:val="555555"/>
          <w:sz w:val="17"/>
        </w:rPr>
        <w:t xml:space="preserve">Zitiervorschlag: § 4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