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VTMBAProVTFPrV — Nachweis des Erwerbs der berufs- und arbeitspädagogischen Qualifikationen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Den Erwerb der berufs- und arbeitspädagogischen Qualifikationen hat die zu prüfende Person nachzuweisen durch</w:t>
      </w:r>
    </w:p>
    <w:p>
      <w:pPr>
        <w:ind w:left="420"/>
      </w:pPr>
      <w:r>
        <w:t xml:space="preserve">1. eine erfolgreich abgelegte Prüfung nach § 4 der Ausbilder-Eignungsverordnung oder</w:t>
      </w:r>
    </w:p>
    <w:p>
      <w:pPr>
        <w:ind w:left="420"/>
      </w:pPr>
      <w:r>
        <w:t xml:space="preserve">2. eine andere erfolgreich abgelegte vergleichbare Prüfung vor einer öffentlichen oder staatlich anerkannten Bildungseinrichtung oder vor einem staatlichen Prüfungsausschuss.</w:t>
      </w:r>
    </w:p>
    <w:p>
      <w:r>
        <w:t xml:space="preserve">(2) Der Nachweis des Erwerbs der berufs- und arbeitspädagogischen Qualifikationen ist vor Beginn der Prüfung des letzten Prüfungsbestandteils vorzulegen.</w:t>
      </w:r>
    </w:p>
    <w:p>
      <w:r>
        <w:rPr>
          <w:color w:val="555555"/>
          <w:sz w:val="17"/>
        </w:rPr>
        <w:t xml:space="preserve">Zitiervorschlag: § 3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