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VTMBAProVTFPrV — Gegenstand des Prüfungsteils</w:t>
      </w:r>
    </w:p>
    <w:p>
      <w:r>
        <w:rPr>
          <w:color w:val="555555"/>
          <w:sz w:val="18"/>
        </w:rPr>
        <w:t xml:space="preserve">Veranstaltungstechnikmeister-Bachelor Professional für Veranstaltungstechnik-Fortbildungsprüfungsverordnung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(1) Im Prüfungsteil „Veranstaltungsprojekt“ soll die zu prüfende Person die in § 20 dargestellten Qualifikationsinhalte ganzheitlich an einem veranstaltungstechnischen Projekt aus ihrer betrieblichen Praxis nachweisen.</w:t>
      </w:r>
    </w:p>
    <w:p>
      <w:r>
        <w:t xml:space="preserve">(2) Die zu prüfende Person muss an der Durchführung des Projekts in einer der folgenden Funktionen beteiligt gewesen sein:</w:t>
      </w:r>
    </w:p>
    <w:p>
      <w:pPr>
        <w:ind w:left="420"/>
      </w:pPr>
      <w:r>
        <w:t xml:space="preserve">1. als technischer Gesamtleiter oder technische Gesamtleiterin der Produktion,</w:t>
      </w:r>
    </w:p>
    <w:p>
      <w:pPr>
        <w:ind w:left="420"/>
      </w:pPr>
      <w:r>
        <w:t xml:space="preserve">2. als technischer Gesamtleiter oder technische Gesamtleiterin der Veranstaltungsstätte,</w:t>
      </w:r>
    </w:p>
    <w:p>
      <w:pPr>
        <w:ind w:left="420"/>
      </w:pPr>
      <w:r>
        <w:t xml:space="preserve">3. als technischer Fachbereichsleiter oder technische Fachbereichsleiterin, insbesondere für Bühnentechnik, Beleuchtungstechnik, Beschallungstechnik oder Medientechnik, oder</w:t>
      </w:r>
    </w:p>
    <w:p>
      <w:pPr>
        <w:ind w:left="420"/>
      </w:pPr>
      <w:r>
        <w:t xml:space="preserve">4. in anderer technischer Leitungsfunktion, die einer der vorgenannten Funktionen in Breite und Tiefe gleichwertig ist.</w:t>
      </w:r>
    </w:p>
    <w:p>
      <w:r>
        <w:rPr>
          <w:color w:val="555555"/>
          <w:sz w:val="17"/>
        </w:rPr>
        <w:t xml:space="preserve">Zitiervorschlag: § 17 VTMBAProVTFPrV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https://recht.nulegal.eu/gesetze/VTMBAProVTFPrV/17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