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 VT-VWABKENERGIEWG_2014 (Brandenburg) — (Haushalts- und Verwaltungsverfahrensrecht)</w:t>
      </w:r>
    </w:p>
    <w:p>
      <w:r>
        <w:rPr>
          <w:color w:val="555555"/>
          <w:sz w:val="18"/>
        </w:rPr>
        <w:t xml:space="preserve">Verwaltungsabkommen über die Wahrnehmung bestimmter Aufgaben nach dem Energiewirtschaftsgesetz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Für den nach Artikel 1 Absatz 1 übertragenen Aufgabenbereich ist das Landesrecht, insbesondere das Haushalts-, Verwaltungsgebühren- und Verwaltungsverfahrensrecht des Landes anzuwenden, soweit sich aus dem Energiewirtschaftsgesetz und den auf Grund des Energiewirtschaftsgesetzes erlassenen Rechtsverordnungen nicht etwas anderes ergibt.</w:t>
      </w:r>
    </w:p>
    <w:p>
      <w:r>
        <w:rPr>
          <w:color w:val="555555"/>
          <w:sz w:val="17"/>
        </w:rPr>
        <w:t xml:space="preserve">Zitiervorschlag: Art 3 VT-VWABKENERGIEWG_2014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https://recht.nulegal.eu/gesetze/VT-VWABKENERGIEWG_2014/3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