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VT-TECHNSCHUTZRECHTESTV_2006 (Brandenburg)</w:t>
      </w:r>
    </w:p>
    <w:p>
      <w:r>
        <w:rPr>
          <w:color w:val="555555"/>
          <w:sz w:val="18"/>
        </w:rPr>
        <w:t xml:space="preserve">Staatsvertrag zwischen dem Land Berlin und dem Land Brandenburg über die Zuständigkeit des Landgerichts Berlin für Rechtsstreitigkeiten über technische Schutzrechte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Staatsvertrag kann von jedem Vertragspartner mit einer Frist von einem Jahr zum Schluß des Kalenderjahres, frühestens zum 31. Dezember 1997, schriftlich gekündigt werden.</w:t>
      </w:r>
    </w:p>
    <w:p>
      <w:r>
        <w:t xml:space="preserve">(2) Bilden die vertragschließenden Länder ein gemeinsames Land, so gehen alle Rechte und Pflichten aus diesem Vertrag auf das neue Land über.</w:t>
      </w:r>
    </w:p>
    <w:p>
      <w:r>
        <w:rPr>
          <w:color w:val="555555"/>
          <w:sz w:val="17"/>
        </w:rPr>
        <w:t xml:space="preserve">Zitiervorschlag: Art 4 VT-TECHNSCHUTZRECHTESTV_2006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https://recht.nulegal.eu/gesetze/VT-TECHNSCHUTZRECHTESTV_2006/4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