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VT-TECHNSCHUTZRECHTESTV_2006 (Brandenburg)</w:t>
      </w:r>
    </w:p>
    <w:p>
      <w:r>
        <w:rPr>
          <w:color w:val="555555"/>
          <w:sz w:val="18"/>
        </w:rPr>
        <w:t xml:space="preserve">Staatsvertrag zwischen dem Land Berlin und dem Land Brandenburg über die Zuständigkeit des Landgerichts Berlin für Rechtsstreitigkeiten über technische Schutzrechte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Berlin verzichtet auf Kostenausgleichsansprüche gegen das Land Brandenburg. Es erhält die Einnahmen des Landgerichts Berlin aus den ihm zugewiesenen Streitsachen.</w:t>
      </w:r>
    </w:p>
    <w:p>
      <w:r>
        <w:rPr>
          <w:color w:val="555555"/>
          <w:sz w:val="17"/>
        </w:rPr>
        <w:t xml:space="preserve">Zitiervorschlag: Art 3 VT-TECHNSCHUTZRECHTESTV_2006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https://recht.nulegal.eu/gesetze/VT-TECHNSCHUTZRECHTESTV_2006/3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