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VT-STVREGISTERPORTALLAENDER (Brandenburg) — Einsatz von elektronischen Bezahlsystemen und Lastschriftverfahren</w:t>
      </w:r>
    </w:p>
    <w:p>
      <w:r>
        <w:rPr>
          <w:color w:val="555555"/>
          <w:sz w:val="18"/>
        </w:rPr>
        <w:t xml:space="preserve">Staatsvertrag zwischen dem Land Brandenburg und dem Land Nordrhein-Westfalen über die Übertragung von Aufgaben nach § 9 Abs. 1 und § 10 des Handelsgesetzbuches zur Errichtung und zum Betrieb eines gemeinsamen Registerportals der Länder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Zur Abgeltung der Gebühren des elektronischen Abrufverfahrens, die für Abrufe entstehen, die über das Registerportal erfolgen, ist der Einsatz elektronischer Bezahlsysteme und des Lastschriftverfahrens gestattet.</w:t>
      </w:r>
    </w:p>
    <w:p>
      <w:r>
        <w:t xml:space="preserve">(2) Abrufe nach Absatz 1 erfolgen ohne vorherige Anmeldung nach § 4. Das Land Brandenburg erhält zum Nachweis der nach Absatz 1 erfolgten Abrufe eine monatliche Übersicht.</w:t>
      </w:r>
    </w:p>
    <w:p>
      <w:r>
        <w:rPr>
          <w:color w:val="555555"/>
          <w:sz w:val="17"/>
        </w:rPr>
        <w:t xml:space="preserve">Zitiervorschlag: § 8 VT-STVREGISTERPORTALLAENDER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https://recht.nulegal.eu/gesetze/VT-STVREGISTERPORTALLAENDER/8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