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VT-RBSTV (Brandenburg) — Rundfunkbeitrag im privaten Bereich</w:t>
      </w:r>
    </w:p>
    <w:p>
      <w:r>
        <w:rPr>
          <w:color w:val="555555"/>
          <w:sz w:val="18"/>
        </w:rPr>
        <w:t xml:space="preserve">Rundfunkbeitragsstaatsvertrag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Im privaten Bereich ist für jede Wohnung von deren Inhaber (Beitragsschuldner) ein Rundfunkbeitrag zu entrichten.</w:t>
      </w:r>
    </w:p>
    <w:p>
      <w:r>
        <w:t xml:space="preserve">(2) Inhaber einer Wohnung ist jede volljährige Person, die die Wohnung selbst bewohnt. Als Inhaber wird jede Person vermutet, die</w:t>
      </w:r>
    </w:p>
    <w:p>
      <w:r>
        <w:t xml:space="preserve">dort nach dem Melderecht gemeldet ist oder</w:t>
      </w:r>
    </w:p>
    <w:p>
      <w:r>
        <w:t xml:space="preserve">im Mietvertrag für die Wohnung als Mieter genannt ist.</w:t>
      </w:r>
    </w:p>
    <w:p>
      <w:r>
        <w:t xml:space="preserve">(3) Mehrere Beitragsschuldner haften als Gesamtschuldner entsprechend § 44 der Abgabenordnung. Die Landesrundfunkanstalt kann von einem anderen als dem bisher in Anspruch genommenen Beitragsschuldner für eine Wohnung für zurückliegende Zeiträume keinen oder nur einen ermäßigten Beitrag erheben, wenn dieser das Vorliegen der Voraussetzungen für eine Befreiung oder Ermäßigung gemäß § 4 Abs. 7 Satz 2 im Zeitpunkt der Inanspruchnahme nachweist.</w:t>
      </w:r>
    </w:p>
    <w:p>
      <w:r>
        <w:t xml:space="preserve">(4) Ein Rundfunkbeitrag ist nicht zu entrichten von Beitragsschuldnern, die aufgrund Artikel 2 des Gesetzes vom 6. August 1964 zu dem Wiener Übereinkommen vom 18. April 1961 über diplomatische Beziehungen ( BGBl. 1964 II S. 957) oder entsprechender Rechtsvorschriften Vorrechte genießen.</w:t>
      </w:r>
    </w:p>
    <w:p>
      <w:r>
        <w:rPr>
          <w:color w:val="555555"/>
          <w:sz w:val="17"/>
        </w:rPr>
        <w:t xml:space="preserve">Zitiervorschlag: § 2 VT-RBSTV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https://recht.nulegal.eu/gesetze/VT-RBSTV/2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