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VT-RBSTV (Brandenburg) — Zweck des Rundfunkbeitrags</w:t>
      </w:r>
    </w:p>
    <w:p>
      <w:r>
        <w:rPr>
          <w:color w:val="555555"/>
          <w:sz w:val="18"/>
        </w:rPr>
        <w:t xml:space="preserve">Rundfunkbeitragsstaatsvertrag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Rundfunkbeitrag dient der funktionsgerechten Finanzausstattung des öffentlich-rechtlichen Rundfunks im Sinne von § 34 Abs. 1 des Medienstaatsvertrages sowie der Finanzierung der Aufgaben nach § 112 des Medienstaatsvertrages.</w:t>
      </w:r>
    </w:p>
    <w:p>
      <w:r>
        <w:rPr>
          <w:color w:val="555555"/>
          <w:sz w:val="17"/>
        </w:rPr>
        <w:t xml:space="preserve">Zitiervorschlag: § 1 VT-RBSTV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https://recht.nulegal.eu/gesetze/VT-RBSTV/1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