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VT-NKLSTV_2009 (Brandenburg) — Glücksspielaufsicht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NKL unterliegt der Glücksspielaufsicht der zuständigen Behörden der Länder.</w:t>
      </w:r>
    </w:p>
    <w:p>
      <w:r>
        <w:t xml:space="preserve">(2) Die Veranstaltungen der NKL bedürfen der Erlaubnis der Glücksspielaufsicht.</w:t>
      </w:r>
    </w:p>
    <w:p>
      <w:r>
        <w:rPr>
          <w:color w:val="555555"/>
          <w:sz w:val="17"/>
        </w:rPr>
        <w:t xml:space="preserve">Zitiervorschlag: § 9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