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VT-NKLSTV_2009 (Brandenburg) — Gewährträgerversammlung</w:t>
      </w:r>
    </w:p>
    <w:p>
      <w:r>
        <w:rPr>
          <w:color w:val="555555"/>
          <w:sz w:val="18"/>
        </w:rPr>
        <w:t xml:space="preserve">Staatsvertrag über die NKL Nordwestdeutsche Klassenlotterie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In der Gewährträgerversammlung nehmen die Vertragsländer ihre Rechte als Träger der Anstalt wahr.</w:t>
      </w:r>
    </w:p>
    <w:p>
      <w:r>
        <w:t xml:space="preserve">(2) Jedes Vertragsland entsendet eine Vertreterin oder einen Vertreter in die Gewährträgerversammlung. Das Stimmrecht eines Landes in der Gewährträgerversammlung entspricht seinem Anteil am Grundkapital.</w:t>
      </w:r>
    </w:p>
    <w:p>
      <w:r>
        <w:t xml:space="preserve">(3) Die Gewährträgerversammlung beschließt über:</w:t>
      </w:r>
    </w:p>
    <w:p>
      <w:r>
        <w:t xml:space="preserve">die Satzung und deren Änderung,</w:t>
      </w:r>
    </w:p>
    <w:p>
      <w:r>
        <w:t xml:space="preserve">Rechtsformumwandlung oder Auflösung der Anstalt,</w:t>
      </w:r>
    </w:p>
    <w:p>
      <w:r>
        <w:t xml:space="preserve">Änderungen des Verteilungsschlüssels für Gewinn und Verlust der NKL und für die Einnahmen aus der Lotteriesteuer auf die Länder,</w:t>
      </w:r>
    </w:p>
    <w:p>
      <w:r>
        <w:t xml:space="preserve">eine räumliche Ausweitung der Geschäftstätigkeit der Anstalt,</w:t>
      </w:r>
    </w:p>
    <w:p>
      <w:r>
        <w:t xml:space="preserve">den Abschluss von Unternehmensverträgen,</w:t>
      </w:r>
    </w:p>
    <w:p>
      <w:r>
        <w:t xml:space="preserve">die Wahl von Aufsichtsratsmitgliedern gemäß § 7 Abs. 2 Satz 2,</w:t>
      </w:r>
    </w:p>
    <w:p>
      <w:r>
        <w:t xml:space="preserve">die Feststellung des Jahresabschlusses,</w:t>
      </w:r>
    </w:p>
    <w:p>
      <w:r>
        <w:t xml:space="preserve">die Ergebnisverwendung,</w:t>
      </w:r>
    </w:p>
    <w:p>
      <w:r>
        <w:t xml:space="preserve">die Entlastung des Aufsichtsrats,</w:t>
      </w:r>
    </w:p>
    <w:p>
      <w:r>
        <w:t xml:space="preserve">die Wahl des Abschlussprüfers und von Prüfern für außerordentliche Prüfungen,</w:t>
      </w:r>
    </w:p>
    <w:p>
      <w:r>
        <w:t xml:space="preserve">die Aufnahme von Krediten,</w:t>
      </w:r>
    </w:p>
    <w:p>
      <w:r>
        <w:t xml:space="preserve">Erwerb von mehr als 25 vom Hundert der Anteile an einem anderen Unternehmen sowie Erhöhung oder vollständige oder teilweise Veräußerung einer solchen Beteiligung,</w:t>
      </w:r>
    </w:p>
    <w:p>
      <w:r>
        <w:t xml:space="preserve">die Geschäftsordnung für den Aufsichtsrat,</w:t>
      </w:r>
    </w:p>
    <w:p>
      <w:r>
        <w:t xml:space="preserve">die Geltendmachung von Ansprüchen gegen Mitglieder des Aufsichtsrats,</w:t>
      </w:r>
    </w:p>
    <w:p>
      <w:r>
        <w:t xml:space="preserve">die Einsetzung von Beiräten.</w:t>
      </w:r>
    </w:p>
    <w:p>
      <w:r>
        <w:t xml:space="preserve">Die Beschlüsse nach Nummer 1 bis 5 sind einstimmig zu treffen; Stimmenthaltungen stehen der Einstimmigkeit nicht entgegen. Die übrigen Beschlüsse bedürfen einer Mehrheit von mindestens 60 (sechzig) vom Hundert der Stimmen und der Zustimmung von mindestens sieben Ländern.</w:t>
      </w:r>
    </w:p>
    <w:p>
      <w:r>
        <w:t xml:space="preserve">(4) Die Gewährträgerversammlung kann sich für weitere Arten von Geschäften die Zustimmung vorbehalten.</w:t>
      </w:r>
    </w:p>
    <w:p>
      <w:r>
        <w:rPr>
          <w:color w:val="555555"/>
          <w:sz w:val="17"/>
        </w:rPr>
        <w:t xml:space="preserve">Zitiervorschlag: § 6 VT-NKLSTV_2009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https://recht.nulegal.eu/gesetze/VT-NKLSTV_2009/6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