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14 VT-NKLSTV_2009 (Brandenburg) — Beitritt zur NKL</w:t>
      </w:r>
    </w:p>
    <w:p>
      <w:r>
        <w:rPr>
          <w:color w:val="555555"/>
          <w:sz w:val="18"/>
        </w:rPr>
        <w:t xml:space="preserve">Staatsvertrag über die NKL Nordwestdeutsche Klassenlotterie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02.08.2026 (konsolidierte Textfassung, kein amtliches Inkrafttretensdatum)</w:t>
      </w:r>
    </w:p>
    <w:p>
      <w:r>
        <w:t xml:space="preserve">(1) Andere Länder können diesem Vertrag mit Zustimmung aller Vertragsländer beitreten. Hierbei kann der Anstalt durch Änderung der Satzung ein anderer Name gegeben werden.</w:t>
      </w:r>
    </w:p>
    <w:p>
      <w:r>
        <w:t xml:space="preserve">(2) Die Gewährträgerversammlung kann bei einem Beitritt zur NKL die Anteile der Vertragsländer am Grundkapital sowie die Anforderungen an die Mehrheitserfordernisse ihrer Beschlüsse einstimmig durch Satzungsänderung neu regeln.</w:t>
      </w:r>
    </w:p>
    <w:p>
      <w:r>
        <w:rPr>
          <w:color w:val="555555"/>
          <w:sz w:val="17"/>
        </w:rPr>
        <w:t xml:space="preserve">Zitiervorschlag: § 14 VT-NKLSTV_2009 (Brandenburg)</w:t>
      </w:r>
    </w:p>
    <w:p>
      <w:r>
        <w:rPr>
          <w:color w:val="555555"/>
          <w:sz w:val="17"/>
        </w:rPr>
        <w:t xml:space="preserve">Quelle: bravors, abgerufen 02.08.2026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https://recht.nulegal.eu/gesetze/VT-NKLSTV_2009/14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