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VT-NKLSTV_2009 (Brandenburg) — Betätigungsverbot</w:t>
      </w:r>
    </w:p>
    <w:p>
      <w:r>
        <w:rPr>
          <w:color w:val="555555"/>
          <w:sz w:val="18"/>
        </w:rPr>
        <w:t xml:space="preserve">Staatsvertrag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Während der Dauer dieses Vertrages werden die Vertragsländer andere Klassenlotterien weder selbst veranstalten noch sich an solchen unmittelbar oder mittelbar beteiligen. Ausnahmen bedürfen eines einstimmigen Beschlusses der Gewährträgerversammlung.</w:t>
      </w:r>
    </w:p>
    <w:p>
      <w:r>
        <w:rPr>
          <w:color w:val="555555"/>
          <w:sz w:val="17"/>
        </w:rPr>
        <w:t xml:space="preserve">Zitiervorschlag: § 12 VT-NKLSTV_2009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https://recht.nulegal.eu/gesetze/VT-NKLSTV_2009/12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