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VT-MAHNGERICHTSVERTRAG_2006 (Brandenburg) — Übergangsvorschrift</w:t>
      </w:r>
    </w:p>
    <w:p>
      <w:r>
        <w:rPr>
          <w:color w:val="555555"/>
          <w:sz w:val="18"/>
        </w:rPr>
        <w:t xml:space="preserve">Staatsvertrag über die Errichtung des Zentralen Mahngerichts Berlin-Brandenburg sowie zur Änderung des Staatsvertrages zwischen dem Land Berlin und dem Land Brandenburg vom 20. November 1995 über die Zuständigkeit des Landgerichts Berlin für Rechtsstreitigkeiten über technische Schutzrechte - Mahngerichtsvertrag -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bis zum 30. Juni 2006 eingegangenen Mahnverfahren bleibt es bei der bisherigen Zuständigkeit.</w:t>
      </w:r>
    </w:p>
    <w:p>
      <w:r>
        <w:rPr>
          <w:color w:val="555555"/>
          <w:sz w:val="17"/>
        </w:rPr>
        <w:t xml:space="preserve">Zitiervorschlag: Art 8 VT-MAHNGERICHTSVERTRAG_2006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https://recht.nulegal.eu/gesetze/VT-MAHNGERICHTSVERTRAG_2006/8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