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VT-MAHNGERICHTSVERTRAG_2006 (Brandenburg) — Haushalt, Rechnungsprüfung</w:t>
      </w:r>
    </w:p>
    <w:p>
      <w:r>
        <w:rPr>
          <w:color w:val="555555"/>
          <w:sz w:val="18"/>
        </w:rPr>
        <w:t xml:space="preserve">Staatsvertrag über die Errichtung des Zentralen Mahngerichts Berlin-Brandenburg sowie zur Änderung des Staatsvertrages zwischen dem Land Berlin und dem Land Brandenburg vom 20. November 1995 über die Zuständigkeit des Landgerichts Berlin für Rechtsstreitigkeiten über technische Schutzrechte - Mahngerichtsvertrag -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Zentrale Mahngericht wird im Haushaltsplan des Landes Berlin gesondert kenntlich gemacht.</w:t>
      </w:r>
    </w:p>
    <w:p>
      <w:r>
        <w:t xml:space="preserve">(2) Hinsichtlich der Ansätze, die das Zentrale Mahngericht betreffen, wird der Entwurf des Haushaltsplans im Einvernehmen mit dem für Justiz zuständigen Ministerium des Landes Brandenburg aufgestellt.</w:t>
      </w:r>
    </w:p>
    <w:p>
      <w:r>
        <w:t xml:space="preserve">(3) Die Rechnungshöfe der vertragschließenden Länder sind berechtigt, die Haushalts- und Wirtschaftsführung des Zentralen Mahngerichts zu prüfen. Sie sollen Prüfvereinbarungen auf der Grundlage von § 93 der Landeshaushaltsordnungen treffen.</w:t>
      </w:r>
    </w:p>
    <w:p>
      <w:r>
        <w:rPr>
          <w:color w:val="555555"/>
          <w:sz w:val="17"/>
        </w:rPr>
        <w:t xml:space="preserve">Zitiervorschlag: Art 6 VT-MAHNGERICHTSVERTRAG_2006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https://recht.nulegal.eu/gesetze/VT-MAHNGERICHTSVERTRAG_2006/6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