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 VT-MAHNGERICHTSVERTRAG_2006 (Brandenburg) — Gerichtskostenvorschuss</w:t>
      </w:r>
    </w:p>
    <w:p>
      <w:r>
        <w:rPr>
          <w:color w:val="555555"/>
          <w:sz w:val="18"/>
        </w:rPr>
        <w:t xml:space="preserve">Staatsvertrag über die Errichtung des Zentralen Mahngerichts Berlin-Brandenburg sowie zur Änderung des Staatsvertrages zwischen dem Land Berlin und dem Land Brandenburg vom 20. November 1995 über die Zuständigkeit des Landgerichts Berlin für Rechtsstreitigkeiten über technische Schutzrechte - Mahngerichtsvertrag -</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Gerichtskostenvorschüsse für das streitige Verfahren zählen nicht zu den Gebühreneinnahmen im Sinne des Artikels 4 Abs. 2, soweit das Streitgericht seinen Sitz in den vertragschließenden Ländern hat.</w:t>
      </w:r>
    </w:p>
    <w:p>
      <w:r>
        <w:t xml:space="preserve">(2) Der in Berlin für ein streitiges Verfahren eingezahlte Gerichtskostenvorschuss steht dem Land Brandenburg zu, soweit der Antragsteller dort seinen allgemeinen Gerichtsstand hat. Berlin führt die für das streitige Verfahren eingezahlten Vorschüsse monatlich an die Landesjustizverwaltung Brandenburg ab.</w:t>
      </w:r>
    </w:p>
    <w:p>
      <w:r>
        <w:rPr>
          <w:color w:val="555555"/>
          <w:sz w:val="17"/>
        </w:rPr>
        <w:t xml:space="preserve">Zitiervorschlag: Art 5 VT-MAHNGERICHTSVERTRAG_2006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https://recht.nulegal.eu/gesetze/VT-MAHNGERICHTSVERTRAG_2006/5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