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VT-LEPRO_STV_1998 (Brandenburg)</w:t>
      </w:r>
    </w:p>
    <w:p>
      <w:r>
        <w:rPr>
          <w:color w:val="555555"/>
          <w:sz w:val="18"/>
        </w:rPr>
        <w:t xml:space="preserve">Staatsvertrag über das gemeinsame Landesentwicklungsprogramm der Länder Berlin und Brandenburg (Landesentwicklungsprogramm) und über die Änderung des Landesplanungsvertrages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Gemeinsames Landesentwicklungsprogramm der Länder Berlin und Brandenburg (Landesentwicklungsprogramm - LEPro)</w:t>
      </w:r>
    </w:p>
    <w:p>
      <w:r>
        <w:t xml:space="preserve">in der Fassung der Bekanntmachung vom 19. Februar 2004 (GVBl.I/04, S.11),</w:t>
      </w:r>
    </w:p>
    <w:p>
      <w:r>
        <w:t xml:space="preserve">geändert durch Artikel 3 des Staatsvertrages vom 10. Oktober 2007 (Gesetz vom 18.12.2007)</w:t>
      </w:r>
    </w:p>
    <w:p>
      <w:r>
        <w:t xml:space="preserve">(GVBl.I/07, S. 235)</w:t>
      </w:r>
    </w:p>
    <w:p>
      <w:r>
        <w:t xml:space="preserve">Inhaltsübersicht</w:t>
      </w:r>
    </w:p>
    <w:p>
      <w:r>
        <w:t xml:space="preserve">§ 1 bis § 15 aufgehoben</w:t>
      </w:r>
    </w:p>
    <w:p>
      <w:r>
        <w:t xml:space="preserve">§ 16 Siedlungsentwicklung</w:t>
      </w:r>
    </w:p>
    <w:p>
      <w:r>
        <w:t xml:space="preserve">§ 17 und § 18 aufgehoben</w:t>
      </w:r>
    </w:p>
    <w:p>
      <w:r>
        <w:t xml:space="preserve">§ 19 Verkehr und Kommunikation</w:t>
      </w:r>
    </w:p>
    <w:p>
      <w:r>
        <w:t xml:space="preserve">§ 20 bis § 37 Sozialwesen aufgehoben</w:t>
      </w:r>
    </w:p>
    <w:p>
      <w:r>
        <w:t xml:space="preserve">Anhang A, B1 und B2 aufgehoben</w:t>
      </w:r>
    </w:p>
    <w:p>
      <w:r>
        <w:rPr>
          <w:color w:val="555555"/>
          <w:sz w:val="17"/>
        </w:rPr>
        <w:t xml:space="preserve">Zitiervorschlag: Anlage 1 VT-LEPRO_STV_1998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https://recht.nulegal.eu/gesetze/VT-LEPRO_STV_1998/anlage-1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