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VT-LEPRO_STV_1998 (Brandenburg) — Inkrafttreten</w:t>
      </w:r>
    </w:p>
    <w:p>
      <w:r>
        <w:rPr>
          <w:color w:val="555555"/>
          <w:sz w:val="18"/>
        </w:rPr>
        <w:t xml:space="preserve">Staatsvertrag über das gemeinsame Landesentwicklungsprogramm der Länder Berlin und Brandenburg (Landesentwicklungsprogramm) und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am ersten Tag des auf den Austausch der Ratifikationsurkunden folgenden Monats in Kraft.</w:t>
      </w:r>
    </w:p>
    <w:p>
      <w:r>
        <w:t xml:space="preserve">Berlin, den 7. August 1997</w:t>
      </w:r>
    </w:p>
    <w:p>
      <w:r>
        <w:t xml:space="preserve">Eberhard Diepgen</w:t>
      </w:r>
    </w:p>
    <w:p>
      <w:r>
        <w:t xml:space="preserve">Für das Land Berlin</w:t>
      </w:r>
    </w:p>
    <w:p>
      <w:r>
        <w:t xml:space="preserve">Regierender Bürgermeister</w:t>
      </w:r>
    </w:p>
    <w:p>
      <w:r>
        <w:t xml:space="preserve">Manfred Stolpe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Art 4 VT-LEPRO_STV_1998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https://recht.nulegal.eu/gesetze/VT-LEPRO_STV_1998/4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