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VT-LEPRO_STV_1998 (Brandenburg) — Siedlungsentwicklung</w:t>
      </w:r>
    </w:p>
    <w:p>
      <w:r>
        <w:rPr>
          <w:color w:val="555555"/>
          <w:sz w:val="18"/>
        </w:rPr>
        <w:t xml:space="preserve">Staatsvertrag über das gemeinsame Landesentwicklungsprogramm der Länder Berlin und Brandenburg (Landesentwicklungsprogramm) und über die Änderung des Landesplanungsvertrages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aufgehoben</w:t>
      </w:r>
    </w:p>
    <w:p>
      <w:r>
        <w:t xml:space="preserve">(2) aufgehoben</w:t>
      </w:r>
    </w:p>
    <w:p>
      <w:r>
        <w:t xml:space="preserve">(3) aufgehoben</w:t>
      </w:r>
    </w:p>
    <w:p>
      <w:r>
        <w:t xml:space="preserve">(4) aufgehoben</w:t>
      </w:r>
    </w:p>
    <w:p>
      <w:r>
        <w:t xml:space="preserve">(5) aufgehoben</w:t>
      </w:r>
    </w:p>
    <w:p>
      <w:r>
        <w:t xml:space="preserve">(6) Einrichtungen der privaten Versorgung von überörtlicher Bedeutung und großflächige Einzelhandelsbetriebe sind nur dort zuzulassen, wo deren Nutzungen nach Art, Lage und Umfang der angestrebten zentralörtlichen Gliederung sowie der in diesem Rahmen zu sichernden Versorgung der Bevölkerung entsprechen. Der Anteil von Verkaufsflächen in großflächigen Einzelhandelszentren ist auf ein Maß zu begrenzen, das die wohnungsnahe Versorgung der Bevölkerung und die geplante Zentrenstruktur nicht gefährdet. Dabei ist auf siedlungsstrukturelle Verträglichkeit und städtebauliche Einbindung hinzuwirken.</w:t>
      </w:r>
    </w:p>
    <w:p>
      <w:r>
        <w:t xml:space="preserve">(7) aufgehoben</w:t>
      </w:r>
    </w:p>
    <w:p>
      <w:r>
        <w:rPr>
          <w:color w:val="555555"/>
          <w:sz w:val="17"/>
        </w:rPr>
        <w:t xml:space="preserve">Zitiervorschlag: § 16 VT-LEPRO_STV_1998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https://recht.nulegal.eu/gesetze/VT-LEPRO_STV_1998/16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