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VT-LEPRO2007_STV_2008 (Brandenburg) — Freiraumentwicklung</w:t>
      </w:r>
    </w:p>
    <w:p>
      <w:r>
        <w:rPr>
          <w:color w:val="555555"/>
          <w:sz w:val="18"/>
        </w:rPr>
        <w:t xml:space="preserve">Staatsvertrag der Länder Berlin und Brandenburg über das Landesentwicklungsprogramm 2007 (LEPro 2007) und die Änderung des Landesplanungsvertrages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Naturgüter Boden, Wasser, Luft, Pflanzen- und Tierwelt sollen in ihrer Funktions- und Regenerationsfähigkeit sowie ihrem Zusammenwirken gesichert und entwickelt werden. Den Anforderungen des Klimaschutzes soll Rechnung getragen werden.</w:t>
      </w:r>
    </w:p>
    <w:p>
      <w:r>
        <w:t xml:space="preserve">(2) Die Inanspruchnahme und die Zerschneidung des Freiraums, insbesondere von großräumig unzerschnittenen Freiräumen, sollen vermieden werden. Zerschneidungswirkungen durch bandartige Infrastruktur sollen durch räumliche Bündelung minimiert werden.</w:t>
      </w:r>
    </w:p>
    <w:p>
      <w:r>
        <w:t xml:space="preserve">(3) Die öffentliche Zugänglichkeit und Erlebbarkeit von Gewässerrändern und anderen Gebieten, die für die Erholungsnutzung besonders geeignet sind, sollen erhalten oder hergestellt werden. Siedlungsbezogene Freiräume sollen für die Erholung gesichert und entwickelt werden.</w:t>
      </w:r>
    </w:p>
    <w:p>
      <w:r>
        <w:t xml:space="preserve">(4) Freiräume mit hochwertigen Schutz-, Nutz- und sozialen Funktionen sollen in einem Freiraumverbund entwickelt werden.</w:t>
      </w:r>
    </w:p>
    <w:p>
      <w:r>
        <w:t xml:space="preserve">(5) Zum vorbeugenden Hochwasserschutz sollen Überschwemmungsgebiete erhalten und Rückhalteräume geschaffen werden. Die Wasserrückhaltung in Flusseinzugsgebieten soll verbessert werden. In Gebieten, die aufgrund ihrer topografischen Lage hochwassergefährdet sind, sollen Schadensrisiken minimiert werden.</w:t>
      </w:r>
    </w:p>
    <w:p>
      <w:r>
        <w:t xml:space="preserve">(6) Für die Gewinnung von standortgebundenen Rohstoffen sollen die raumordnerischen Voraussetzungen erhalten oder geschaffen werden.</w:t>
      </w:r>
    </w:p>
    <w:p>
      <w:r>
        <w:rPr>
          <w:color w:val="555555"/>
          <w:sz w:val="17"/>
        </w:rPr>
        <w:t xml:space="preserve">Zitiervorschlag: § 6 VT-LEPRO2007_STV_2008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https://recht.nulegal.eu/gesetze/VT-LEPRO2007_STV_2008/6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