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VT-LEPRO2007_STV_2008 (Brandenburg) — Kulturlandschaft</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Kulturlandschaft soll in ihrer Vielfalt erhalten und zur Stärkung der regionalen Identität und Wirtschaftskraft weiterentwickelt werden. Metropole, Städte und Dörfer sind wichtige Elemente der Kulturlandschaft. Historisch bedeutsame Kulturlandschaften sollen bewahrt und entwickelt werden.</w:t>
      </w:r>
    </w:p>
    <w:p>
      <w:r>
        <w:t xml:space="preserve">(2) Durch eine nachhaltige und integrierte ländliche Entwicklung sollen die Land-, Forst- und Fischereiwirtschaft, die touristischen Potenziale, die Nutzung regenerativer Energien und nachwachsender Rohstoffe in den ländlichen Räumen als Teil der Kulturlandschaft weiterentwickelt werden.</w:t>
      </w:r>
    </w:p>
    <w:p>
      <w:r>
        <w:t xml:space="preserve">(3) Kulturlandschaften mit besonderem Handlungsbedarf sollen durch eine kooperative Regionalentwicklung auch länderübergreifend gestärkt und weiterentwickelt werden.</w:t>
      </w:r>
    </w:p>
    <w:p>
      <w:r>
        <w:rPr>
          <w:color w:val="555555"/>
          <w:sz w:val="17"/>
        </w:rPr>
        <w:t xml:space="preserve">Zitiervorschlag: § 4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