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 VT-KREBSREGISTER_STV_2008 (Brandenburg) — Fortgeltung des Krebsregistergesetzes</w:t>
      </w:r>
    </w:p>
    <w:p>
      <w:r>
        <w:rPr>
          <w:color w:val="555555"/>
          <w:sz w:val="18"/>
        </w:rPr>
        <w:t xml:space="preserve">Staatsvertrag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dem ersatzlosen Außerkrafttreten des Krebsregistergesetzes vom 4. November 1994 (BGBl. I S. 3351) nach seinem § 14 Abs. 2 gilt dieses mit Ausnahme der §§ 10 und 13 Abs. 3 bis zu einer anderweitigen Regelung als Landesrecht fort, soweit sich aus diesem Staatsvertrag oder den zum Krebsregistergesetz ergangenen landesgesetzlichen Regelungen nichts anderes ergibt.</w:t>
      </w:r>
    </w:p>
    <w:p>
      <w:r>
        <w:t xml:space="preserve">(2) Im Rahmen der Früherkennung von Brustkrebs durch Mammographie-Screening gemäß den Krebsfrüherkennungs-Richtlinien des Bundesausschusses der Ärzte und Krankenkassen, zuletzt geändert am 15. Dezember 2003, veröffentlicht im Bundesanzeiger Nr. 1 (S. 2) vom 3. Januar 2004, darf das für die Bildung der Kontrollnummern eingesetzte Programm von der Vertrauensstelle des Gemeinsamen Krebsregisters abweichend von § 7 Abs. 4 des Krebsregistergesetzes an die zuständigen Zentralen Stellen der Länder weitergegeben werden.</w:t>
      </w:r>
    </w:p>
    <w:p>
      <w:r>
        <w:rPr>
          <w:color w:val="555555"/>
          <w:sz w:val="17"/>
        </w:rPr>
        <w:t xml:space="preserve">Zitiervorschlag: Art 13 VT-KREBSREGISTER_STV_2008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https://recht.nulegal.eu/gesetze/VT-KREBSREGISTER_STV_2008/13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